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A6F" w14:textId="3F6F401E" w:rsidR="005507A4" w:rsidRPr="00437302" w:rsidRDefault="005507A4" w:rsidP="005507A4">
      <w:pPr>
        <w:rPr>
          <w:sz w:val="24"/>
          <w:szCs w:val="24"/>
          <w:u w:val="single"/>
        </w:rPr>
      </w:pPr>
      <w:r w:rsidRPr="00437302">
        <w:rPr>
          <w:sz w:val="24"/>
          <w:szCs w:val="24"/>
          <w:u w:val="single"/>
        </w:rPr>
        <w:t>Cognition and Learning</w:t>
      </w:r>
      <w:r w:rsidRPr="00437302">
        <w:rPr>
          <w:sz w:val="24"/>
          <w:szCs w:val="24"/>
          <w:u w:val="single"/>
        </w:rPr>
        <w:t xml:space="preserve"> as defined by the SEND Code of Practice 2015</w:t>
      </w:r>
    </w:p>
    <w:p w14:paraId="7225DCD3" w14:textId="77777777" w:rsidR="005507A4" w:rsidRPr="005507A4" w:rsidRDefault="005507A4" w:rsidP="005507A4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22222"/>
        </w:rPr>
      </w:pPr>
      <w:r w:rsidRPr="005507A4">
        <w:rPr>
          <w:rFonts w:asciiTheme="minorHAnsi" w:hAnsiTheme="minorHAnsi" w:cstheme="minorHAnsi"/>
          <w:color w:val="222222"/>
        </w:rPr>
        <w:t>Support for learning difficulties may be required when children and young people learn at a </w:t>
      </w:r>
      <w:r w:rsidRPr="005507A4">
        <w:rPr>
          <w:rStyle w:val="Strong"/>
          <w:rFonts w:asciiTheme="minorHAnsi" w:hAnsiTheme="minorHAnsi" w:cstheme="minorHAnsi"/>
          <w:color w:val="222222"/>
        </w:rPr>
        <w:t>slower pace</w:t>
      </w:r>
      <w:r w:rsidRPr="005507A4">
        <w:rPr>
          <w:rFonts w:asciiTheme="minorHAnsi" w:hAnsiTheme="minorHAnsi" w:cstheme="minorHAnsi"/>
          <w:color w:val="222222"/>
        </w:rPr>
        <w:t> than their peers, even with appropriate differentiation. Learning difficulties cover a wide range of needs, including </w:t>
      </w:r>
      <w:r w:rsidRPr="005507A4">
        <w:rPr>
          <w:rStyle w:val="Strong"/>
          <w:rFonts w:asciiTheme="minorHAnsi" w:hAnsiTheme="minorHAnsi" w:cstheme="minorHAnsi"/>
          <w:color w:val="222222"/>
        </w:rPr>
        <w:t>moderate learning difficulties (MLD),</w:t>
      </w:r>
      <w:r w:rsidRPr="005507A4">
        <w:rPr>
          <w:rFonts w:asciiTheme="minorHAnsi" w:hAnsiTheme="minorHAnsi" w:cstheme="minorHAnsi"/>
          <w:color w:val="222222"/>
        </w:rPr>
        <w:t> </w:t>
      </w:r>
      <w:r w:rsidRPr="005507A4">
        <w:rPr>
          <w:rStyle w:val="Strong"/>
          <w:rFonts w:asciiTheme="minorHAnsi" w:hAnsiTheme="minorHAnsi" w:cstheme="minorHAnsi"/>
          <w:color w:val="222222"/>
        </w:rPr>
        <w:t>severe learning difficulties (SLD),</w:t>
      </w:r>
      <w:r w:rsidRPr="005507A4">
        <w:rPr>
          <w:rFonts w:asciiTheme="minorHAnsi" w:hAnsiTheme="minorHAnsi" w:cstheme="minorHAnsi"/>
          <w:color w:val="222222"/>
        </w:rPr>
        <w:t> where children are likely to need support in </w:t>
      </w:r>
      <w:r w:rsidRPr="005507A4">
        <w:rPr>
          <w:rStyle w:val="Strong"/>
          <w:rFonts w:asciiTheme="minorHAnsi" w:hAnsiTheme="minorHAnsi" w:cstheme="minorHAnsi"/>
          <w:color w:val="222222"/>
        </w:rPr>
        <w:t>all areas of the curriculum</w:t>
      </w:r>
      <w:r w:rsidRPr="005507A4">
        <w:rPr>
          <w:rFonts w:asciiTheme="minorHAnsi" w:hAnsiTheme="minorHAnsi" w:cstheme="minorHAnsi"/>
          <w:color w:val="222222"/>
        </w:rPr>
        <w:t> and associated </w:t>
      </w:r>
      <w:r w:rsidRPr="005507A4">
        <w:rPr>
          <w:rStyle w:val="Strong"/>
          <w:rFonts w:asciiTheme="minorHAnsi" w:hAnsiTheme="minorHAnsi" w:cstheme="minorHAnsi"/>
          <w:color w:val="222222"/>
        </w:rPr>
        <w:t>difficulties with mobility and communication</w:t>
      </w:r>
      <w:r w:rsidRPr="005507A4">
        <w:rPr>
          <w:rFonts w:asciiTheme="minorHAnsi" w:hAnsiTheme="minorHAnsi" w:cstheme="minorHAnsi"/>
          <w:color w:val="222222"/>
        </w:rPr>
        <w:t>, through to </w:t>
      </w:r>
      <w:r w:rsidRPr="005507A4">
        <w:rPr>
          <w:rStyle w:val="Strong"/>
          <w:rFonts w:asciiTheme="minorHAnsi" w:hAnsiTheme="minorHAnsi" w:cstheme="minorHAnsi"/>
          <w:color w:val="222222"/>
        </w:rPr>
        <w:t>profound and multiple learning difficulties (PMLD),</w:t>
      </w:r>
      <w:r w:rsidRPr="005507A4">
        <w:rPr>
          <w:rFonts w:asciiTheme="minorHAnsi" w:hAnsiTheme="minorHAnsi" w:cstheme="minorHAnsi"/>
          <w:color w:val="222222"/>
        </w:rPr>
        <w:t> where children are likely to have s</w:t>
      </w:r>
      <w:r w:rsidRPr="005507A4">
        <w:rPr>
          <w:rStyle w:val="Strong"/>
          <w:rFonts w:asciiTheme="minorHAnsi" w:hAnsiTheme="minorHAnsi" w:cstheme="minorHAnsi"/>
          <w:color w:val="222222"/>
        </w:rPr>
        <w:t>evere </w:t>
      </w:r>
      <w:r w:rsidRPr="005507A4">
        <w:rPr>
          <w:rFonts w:asciiTheme="minorHAnsi" w:hAnsiTheme="minorHAnsi" w:cstheme="minorHAnsi"/>
          <w:color w:val="222222"/>
        </w:rPr>
        <w:t>and</w:t>
      </w:r>
      <w:r w:rsidRPr="005507A4">
        <w:rPr>
          <w:rStyle w:val="Strong"/>
          <w:rFonts w:asciiTheme="minorHAnsi" w:hAnsiTheme="minorHAnsi" w:cstheme="minorHAnsi"/>
          <w:color w:val="222222"/>
        </w:rPr>
        <w:t> complex</w:t>
      </w:r>
      <w:r w:rsidRPr="005507A4">
        <w:rPr>
          <w:rFonts w:asciiTheme="minorHAnsi" w:hAnsiTheme="minorHAnsi" w:cstheme="minorHAnsi"/>
          <w:color w:val="222222"/>
        </w:rPr>
        <w:t> learning difficulties </w:t>
      </w:r>
      <w:r w:rsidRPr="005507A4">
        <w:rPr>
          <w:rStyle w:val="Strong"/>
          <w:rFonts w:asciiTheme="minorHAnsi" w:hAnsiTheme="minorHAnsi" w:cstheme="minorHAnsi"/>
          <w:color w:val="222222"/>
        </w:rPr>
        <w:t>as well as a physical disability or sensory impairment</w:t>
      </w:r>
      <w:r w:rsidRPr="005507A4">
        <w:rPr>
          <w:rFonts w:asciiTheme="minorHAnsi" w:hAnsiTheme="minorHAnsi" w:cstheme="minorHAnsi"/>
          <w:color w:val="222222"/>
        </w:rPr>
        <w:t>.</w:t>
      </w:r>
    </w:p>
    <w:p w14:paraId="31957906" w14:textId="529AF868" w:rsidR="005507A4" w:rsidRPr="005507A4" w:rsidRDefault="005507A4" w:rsidP="005507A4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22222"/>
        </w:rPr>
      </w:pPr>
      <w:r w:rsidRPr="005507A4">
        <w:rPr>
          <w:rStyle w:val="Strong"/>
          <w:rFonts w:asciiTheme="minorHAnsi" w:hAnsiTheme="minorHAnsi" w:cstheme="minorHAnsi"/>
          <w:color w:val="222222"/>
        </w:rPr>
        <w:t>Specific learning difficulties (</w:t>
      </w:r>
      <w:proofErr w:type="spellStart"/>
      <w:r w:rsidRPr="005507A4">
        <w:rPr>
          <w:rStyle w:val="Strong"/>
          <w:rFonts w:asciiTheme="minorHAnsi" w:hAnsiTheme="minorHAnsi" w:cstheme="minorHAnsi"/>
          <w:color w:val="222222"/>
        </w:rPr>
        <w:t>SpLD</w:t>
      </w:r>
      <w:proofErr w:type="spellEnd"/>
      <w:r w:rsidRPr="005507A4">
        <w:rPr>
          <w:rStyle w:val="Strong"/>
          <w:rFonts w:asciiTheme="minorHAnsi" w:hAnsiTheme="minorHAnsi" w:cstheme="minorHAnsi"/>
          <w:color w:val="222222"/>
        </w:rPr>
        <w:t>),</w:t>
      </w:r>
      <w:r w:rsidRPr="005507A4">
        <w:rPr>
          <w:rFonts w:asciiTheme="minorHAnsi" w:hAnsiTheme="minorHAnsi" w:cstheme="minorHAnsi"/>
          <w:color w:val="222222"/>
        </w:rPr>
        <w:t> affect one or more specific aspects of learning. This encompasses a range of conditions such as </w:t>
      </w:r>
      <w:r w:rsidRPr="005507A4">
        <w:rPr>
          <w:rStyle w:val="Strong"/>
          <w:rFonts w:asciiTheme="minorHAnsi" w:hAnsiTheme="minorHAnsi" w:cstheme="minorHAnsi"/>
          <w:color w:val="222222"/>
        </w:rPr>
        <w:t xml:space="preserve">dyslexia, </w:t>
      </w:r>
      <w:proofErr w:type="gramStart"/>
      <w:r w:rsidRPr="005507A4">
        <w:rPr>
          <w:rStyle w:val="Strong"/>
          <w:rFonts w:asciiTheme="minorHAnsi" w:hAnsiTheme="minorHAnsi" w:cstheme="minorHAnsi"/>
          <w:color w:val="222222"/>
        </w:rPr>
        <w:t>dyscalculia</w:t>
      </w:r>
      <w:proofErr w:type="gramEnd"/>
      <w:r w:rsidRPr="005507A4">
        <w:rPr>
          <w:rStyle w:val="Strong"/>
          <w:rFonts w:asciiTheme="minorHAnsi" w:hAnsiTheme="minorHAnsi" w:cstheme="minorHAnsi"/>
          <w:color w:val="222222"/>
        </w:rPr>
        <w:t xml:space="preserve"> and dyspraxia</w:t>
      </w:r>
      <w:r w:rsidRPr="005507A4">
        <w:rPr>
          <w:rFonts w:asciiTheme="minorHAnsi" w:hAnsiTheme="minorHAnsi" w:cstheme="minorHAnsi"/>
          <w:color w:val="222222"/>
        </w:rPr>
        <w:t>.</w:t>
      </w:r>
    </w:p>
    <w:p w14:paraId="29FB864F" w14:textId="77777777" w:rsidR="005507A4" w:rsidRPr="00256C32" w:rsidRDefault="005507A4" w:rsidP="005507A4">
      <w:pPr>
        <w:rPr>
          <w:u w:val="single"/>
        </w:rPr>
      </w:pPr>
    </w:p>
    <w:p w14:paraId="40E3D258" w14:textId="77777777" w:rsidR="007E4EA2" w:rsidRDefault="007E4EA2"/>
    <w:sectPr w:rsidR="007E4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A4"/>
    <w:rsid w:val="00437302"/>
    <w:rsid w:val="005507A4"/>
    <w:rsid w:val="007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ABF8"/>
  <w15:chartTrackingRefBased/>
  <w15:docId w15:val="{699F67D1-9549-4F9B-BAAB-8B85C63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0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2021-05-26T13:36:00Z</dcterms:created>
  <dcterms:modified xsi:type="dcterms:W3CDTF">2021-05-26T13:38:00Z</dcterms:modified>
</cp:coreProperties>
</file>